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BE68" w14:textId="77777777" w:rsidR="001E4BEC" w:rsidRPr="001E4BEC" w:rsidRDefault="001E4BEC" w:rsidP="001E4BEC">
      <w:pPr>
        <w:bidi/>
        <w:spacing w:after="240" w:line="276" w:lineRule="auto"/>
        <w:contextualSpacing/>
        <w:jc w:val="center"/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</w:pPr>
      <w:bookmarkStart w:id="0" w:name="_GoBack"/>
      <w:bookmarkEnd w:id="0"/>
      <w:r w:rsidRPr="001E4BEC"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>نموذج رقم (</w:t>
      </w:r>
      <w:r w:rsidRPr="001E4BEC">
        <w:rPr>
          <w:rFonts w:ascii="ae_AlMateen" w:eastAsia="Times New Roman" w:hAnsi="ae_AlMateen" w:cs="Simplified Arabic" w:hint="cs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>12</w:t>
      </w:r>
      <w:r w:rsidRPr="001E4BEC"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>)</w:t>
      </w:r>
    </w:p>
    <w:p w14:paraId="57F674B8" w14:textId="77777777" w:rsidR="001E4BEC" w:rsidRPr="001E4BEC" w:rsidRDefault="001E4BEC" w:rsidP="001E4BEC">
      <w:pPr>
        <w:bidi/>
        <w:spacing w:after="0" w:line="276" w:lineRule="auto"/>
        <w:contextualSpacing/>
        <w:jc w:val="center"/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</w:pPr>
      <w:r w:rsidRPr="001E4BEC"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 xml:space="preserve">إرشادات خاصة بتصميم </w:t>
      </w:r>
      <w:r w:rsidRPr="001E4BEC">
        <w:rPr>
          <w:rFonts w:ascii="ae_AlMateen" w:eastAsia="Times New Roman" w:hAnsi="ae_AlMateen" w:cs="Simplified Arabic" w:hint="cs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>قائمة</w:t>
      </w:r>
      <w:r w:rsidRPr="001E4BEC"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 xml:space="preserve"> استقصاء </w:t>
      </w:r>
      <w:r w:rsidRPr="001E4BEC">
        <w:rPr>
          <w:rFonts w:ascii="ae_AlMateen" w:eastAsia="Times New Roman" w:hAnsi="ae_AlMateen" w:cs="Simplified Arabic" w:hint="cs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>آراء</w:t>
      </w:r>
      <w:r w:rsidRPr="001E4BEC"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 w:bidi="ar-EG"/>
          <w14:ligatures w14:val="none"/>
        </w:rPr>
        <w:t xml:space="preserve"> أعضاء هيئة التدريس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1E4BEC" w:rsidRPr="001E4BEC" w14:paraId="675BAA10" w14:textId="77777777" w:rsidTr="0029692C">
        <w:trPr>
          <w:jc w:val="center"/>
        </w:trPr>
        <w:tc>
          <w:tcPr>
            <w:tcW w:w="8528" w:type="dxa"/>
          </w:tcPr>
          <w:p w14:paraId="24E8A7FD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مصداقية الإدارة </w:t>
            </w:r>
          </w:p>
          <w:p w14:paraId="0C815307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نمط القيادة الأكاديمية</w:t>
            </w:r>
          </w:p>
          <w:p w14:paraId="585AFD45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العلاقات مع القيادات الأكاديمية</w:t>
            </w:r>
          </w:p>
          <w:p w14:paraId="35B33614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المشاركة في اتخاذ القرارات </w:t>
            </w:r>
          </w:p>
          <w:p w14:paraId="372E7A54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فاعلية مجالس الأقسام</w:t>
            </w:r>
          </w:p>
          <w:p w14:paraId="0D17B2EC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الأعباء التدريسية</w:t>
            </w:r>
          </w:p>
          <w:p w14:paraId="6137C95F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توزيع الإشراف على الرسائل العلمية</w:t>
            </w:r>
          </w:p>
          <w:p w14:paraId="34351FD9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الدعم المالي للبحث العلمي</w:t>
            </w:r>
          </w:p>
          <w:p w14:paraId="7513959B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إتاحة المعلومات</w:t>
            </w:r>
          </w:p>
          <w:p w14:paraId="0B5F49FB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مناخ الابتكار والتطوير</w:t>
            </w:r>
          </w:p>
          <w:p w14:paraId="61A5E099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الدورات التدريبية لتنمية قدرات أعضاء هيئة التدريس</w:t>
            </w:r>
          </w:p>
          <w:p w14:paraId="33A63330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معايير تقويم الأداء</w:t>
            </w:r>
          </w:p>
          <w:p w14:paraId="0A06779B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فاعلية وحدة ضمان الجودة والاعتماد</w:t>
            </w:r>
          </w:p>
          <w:p w14:paraId="35272D81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المتطلبات الوظيفية </w:t>
            </w:r>
          </w:p>
          <w:p w14:paraId="3B09908B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المكتبة</w:t>
            </w:r>
          </w:p>
          <w:p w14:paraId="78FB06CD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 xml:space="preserve">ظروف العمل </w:t>
            </w:r>
          </w:p>
          <w:p w14:paraId="5140CC4D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الدعم غير المادي</w:t>
            </w:r>
          </w:p>
          <w:p w14:paraId="3DEA7A1E" w14:textId="77777777" w:rsidR="001E4BEC" w:rsidRPr="001E4BEC" w:rsidRDefault="001E4BEC" w:rsidP="001E4BEC">
            <w:pPr>
              <w:numPr>
                <w:ilvl w:val="0"/>
                <w:numId w:val="1"/>
              </w:numPr>
              <w:bidi/>
              <w:spacing w:after="0" w:line="240" w:lineRule="auto"/>
              <w:ind w:left="714" w:hanging="357"/>
              <w:rPr>
                <w:rFonts w:ascii="Times New Roman" w:eastAsia="Calibri" w:hAnsi="Times New Roman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1E4BEC">
              <w:rPr>
                <w:rFonts w:ascii="Times New Roman" w:eastAsia="Calibri" w:hAnsi="Times New Roman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قواعد تعيين الهيئة</w:t>
            </w:r>
          </w:p>
        </w:tc>
      </w:tr>
    </w:tbl>
    <w:p w14:paraId="4298077F" w14:textId="77777777" w:rsidR="001E4BEC" w:rsidRPr="001E4BEC" w:rsidRDefault="001E4BEC" w:rsidP="001E4BEC">
      <w:pPr>
        <w:tabs>
          <w:tab w:val="center" w:pos="1472"/>
        </w:tabs>
        <w:bidi/>
        <w:spacing w:after="0" w:line="240" w:lineRule="auto"/>
        <w:contextualSpacing/>
        <w:jc w:val="center"/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/>
          <w14:ligatures w14:val="none"/>
        </w:rPr>
      </w:pPr>
    </w:p>
    <w:p w14:paraId="5FAB3031" w14:textId="77777777" w:rsidR="001E4BEC" w:rsidRDefault="001E4BEC"/>
    <w:sectPr w:rsidR="001E4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93A"/>
    <w:multiLevelType w:val="hybridMultilevel"/>
    <w:tmpl w:val="032894CC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C"/>
    <w:rsid w:val="001E4BEC"/>
    <w:rsid w:val="002522F9"/>
    <w:rsid w:val="009F4845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FA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BE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2024-03-10T09:29:00Z</dcterms:created>
  <dcterms:modified xsi:type="dcterms:W3CDTF">2024-03-10T09:29:00Z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fc66c514-5e18-4986-bad2-06116076fe3c</vt:lpwstr>
  </property>
</Properties>
</file>